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规范性文件清理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结果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目录</w:t>
      </w:r>
    </w:p>
    <w:p>
      <w:pPr>
        <w:pStyle w:val="3"/>
        <w:spacing w:line="560" w:lineRule="exact"/>
        <w:rPr>
          <w:color w:val="000000"/>
        </w:rPr>
      </w:pP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08"/>
        <w:gridCol w:w="2157"/>
        <w:gridCol w:w="3766"/>
        <w:gridCol w:w="311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文件</w:t>
            </w:r>
          </w:p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起草部门</w:t>
            </w: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名称及文号</w:t>
            </w:r>
          </w:p>
        </w:tc>
        <w:tc>
          <w:tcPr>
            <w:tcW w:w="109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文号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9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 xml:space="preserve">县教育体育局 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泸县教师公租房管理办法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泸县府办发〔2016〕123号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2021年07月26日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县农业农村局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泸县农村集体资金资产规范化管理办法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泸县府发〔2017〕21号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2022年04月18日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县民政局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pacing w:val="-8"/>
                <w:sz w:val="24"/>
              </w:rPr>
              <w:t>泸县惠民殡葬免除城乡群众基本殡葬服务费实施办法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泸县府办发〔2018〕40号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2023年04月20日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县财政局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泸县财政投资评审管理办法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泸县府发〔2018〕29号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2023年08月31日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县经济信息科技局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全力推进工业经济高质量发展扶持办法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泸县府发〔2019〕14号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2022年09月13日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医药产业园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医药科技成果转化扶持资金管理办法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泸县府发〔2019〕24号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2025年01月05日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县交通运输局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泸县城镇公交财政补贴考核办法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</w:rPr>
              <w:t>泸县府办发〔2020〕24号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eastAsia="仿宋_GB2312"/>
                <w:spacing w:val="-8"/>
                <w:sz w:val="24"/>
              </w:rPr>
              <w:t>2025年10月01日</w:t>
            </w:r>
            <w:r>
              <w:rPr>
                <w:rFonts w:hint="eastAsia" w:eastAsia="仿宋_GB2312"/>
                <w:spacing w:val="-8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泸县市场监督管理局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泸县知识产权专项资金管理办法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泸县府办发〔2020〕</w:t>
            </w:r>
            <w:r>
              <w:rPr>
                <w:rFonts w:ascii="Times New Roman" w:hAnsi="Times New Roman" w:eastAsia="仿宋_GB2312" w:cs="Times New Roman"/>
                <w:sz w:val="24"/>
                <w:lang w:val="en-US" w:eastAsia="zh-CN"/>
              </w:rPr>
              <w:t>31号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存在与《行政处罚法》不衔接内容，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拟修改。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泸县审计局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泸县政府投资项目管理及监督办法（试行）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泸县府发〔2020〕14号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lang w:val="en-US" w:eastAsia="zh-CN"/>
              </w:rPr>
              <w:t>022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泸县住房和城乡建设局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泸县城市基础设施配套费管理办法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泸县府发〔2021〕2号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2026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76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泸县农业农村局</w:t>
            </w:r>
          </w:p>
        </w:tc>
        <w:tc>
          <w:tcPr>
            <w:tcW w:w="132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关于进一步规范农村宅基地审批和住房建设管理的通知</w:t>
            </w:r>
          </w:p>
        </w:tc>
        <w:tc>
          <w:tcPr>
            <w:tcW w:w="109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泸县府办发〔2021〕5号</w:t>
            </w:r>
          </w:p>
        </w:tc>
        <w:tc>
          <w:tcPr>
            <w:tcW w:w="11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文件内容未违反新修订的行政处罚法，继续有效，有效期至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2026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16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日。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OGVjMWRlMmM5YTg4NzA5YjZjZjcxYzM2OTZlNmEifQ=="/>
  </w:docVars>
  <w:rsids>
    <w:rsidRoot w:val="1AFD1F2C"/>
    <w:rsid w:val="154E65FB"/>
    <w:rsid w:val="1AFD1F2C"/>
    <w:rsid w:val="1BC525F8"/>
    <w:rsid w:val="270E084E"/>
    <w:rsid w:val="62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after="0"/>
      <w:ind w:firstLine="420"/>
    </w:pPr>
    <w:rPr>
      <w:rFonts w:ascii="仿宋_GB2312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917</Characters>
  <Lines>0</Lines>
  <Paragraphs>0</Paragraphs>
  <TotalTime>1</TotalTime>
  <ScaleCrop>false</ScaleCrop>
  <LinksUpToDate>false</LinksUpToDate>
  <CharactersWithSpaces>918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2022-07-27T11:21:00Z</dcterms:created>
  <dc:creator>Administrator</dc:creator>
  <cp:lastModifiedBy>Administrator</cp:lastModifiedBy>
  <dcterms:modified xsi:type="dcterms:W3CDTF">2022-07-28T03:53:21Z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B1211F2FE82B4A50A24D261C201434B5</vt:lpwstr>
  </property>
</Properties>
</file>